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LV-C[C6]-I[6-2-1-2-i-] Strengthening the capacity to investigate economic crime</w:t>
      </w:r>
    </w:p>
    <w:p w:rsidR="00DC6807" w:rsidRPr="00905B9C" w:rsidP="01BD11D8" w14:paraId="4C22E5B9" w14:textId="470FD0EC">
      <w:pPr>
        <w:jc w:val="right"/>
        <w:rPr>
          <w:b/>
          <w:bCs/>
          <w:highlight w:val="cyan"/>
          <w:lang w:val="fr-BE"/>
        </w:rPr>
      </w:pPr>
      <w:r w:rsidRPr="00905B9C" w:rsidR="005B3C6E">
        <w:rPr>
          <w:b/>
          <w:bCs/>
          <w:lang w:val="fr-BE"/>
        </w:rPr>
        <w:t>LV-C[C6]-I[6-2-1-2-i-]-T[191] Equipment for law enforcement officials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the availability and capacity of law enforcement officials dealing with economic crime. The measure consists of both investment and reform elements. The investment consists of a) training of speech recognition IT tool for the purposes of using it in the economic crime investigation process, b) training law enforcement officials to obtain a Criminal Anti Money Laundering Certificate and c) equipping law enforcement officials and units with electronic data processing and recording devices suitable for remote work. The investment shall be implemented by 31 March 2025. The reform consists of the adoption of a progress report on the implementation of an action plan for strengthening the fight against economic crime. The plan shall be based on the recommendations received under the Structural Reform Programme and further detailed by the State Police. The plan shall clearly define the activities to be implemented, the deadlines and the bodies responsible for implementation. The action plan shall also ensure consistency with the priorities of the Prevention of Money Laundering, Terrorist Financing and Proliferation Plan. The reform shall be implemented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C6.6-2-1-2-i- Strengthening the capacity to investigate economic crime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Equipment for law enforcement officials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237</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Office for Combating Economic Crimes of the State Police, 5 Latvian regional units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includes the purchase of the following equipment:</w:t>
              <w:br/>
              <w:t>— 200 mobile workstations;</w:t>
              <w:br/>
              <w:t xml:space="preserve">— 30 portable printers </w:t>
              <w:br/>
              <w:t>— 4 large-scale servers</w:t>
              <w:br/>
              <w:t>— 3 units of videoconferencing equipment,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a list of the purchases indicating for each purchase: a) the reference and date of the invoice; b) the description of the items being purchased; c) the municipality that has carried out the purchases.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